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A24425" w:rsidRDefault="00A24425" w:rsidP="00A24425">
      <w:pPr>
        <w:jc w:val="center"/>
        <w:rPr>
          <w:b/>
          <w:color w:val="000000"/>
          <w:lang w:eastAsia="lt-LT"/>
        </w:rPr>
      </w:pPr>
      <w:r>
        <w:rPr>
          <w:b/>
          <w:color w:val="000000"/>
          <w:lang w:eastAsia="lt-LT"/>
        </w:rPr>
        <w:t>KLAIPĖDOS LIUDVIKO STULPINO PROGIMNAZIJOS</w:t>
      </w:r>
    </w:p>
    <w:p w:rsidR="00A24425" w:rsidRDefault="00A24425" w:rsidP="00A24425">
      <w:pPr>
        <w:jc w:val="center"/>
        <w:rPr>
          <w:color w:val="000000"/>
          <w:lang w:eastAsia="lt-LT"/>
        </w:rPr>
      </w:pPr>
      <w:r>
        <w:rPr>
          <w:b/>
          <w:bCs/>
          <w:color w:val="000000"/>
          <w:lang w:eastAsia="lt-LT"/>
        </w:rPr>
        <w:t>2021 METŲ VEIKLOS ATASKAITA</w:t>
      </w:r>
    </w:p>
    <w:p w:rsidR="00A24425" w:rsidRDefault="00A24425" w:rsidP="00A24425">
      <w:pPr>
        <w:jc w:val="center"/>
      </w:pPr>
    </w:p>
    <w:p w:rsidR="00A24425" w:rsidRDefault="00A24425" w:rsidP="00A24425">
      <w:pPr>
        <w:ind w:firstLine="596"/>
        <w:jc w:val="both"/>
        <w:rPr>
          <w:strike/>
        </w:rPr>
      </w:pPr>
      <w:r>
        <w:rPr>
          <w:bCs/>
          <w:lang w:eastAsia="lt-LT"/>
        </w:rPr>
        <w:t>Klaipėdos Liudviko Stulpino progimnazija</w:t>
      </w:r>
      <w:r>
        <w:t xml:space="preserve"> (toliau – Progimnazija) įgyvendina priešmokyklinio, pradinio ir pagrindinio (I dalies) ugdymo ir kryptingo meninio (dailės, šokio, muzikos, teatro) ugdymo programas. 2021-09-01 duomenimis Progimnazijoje ugdyti 795 mokiniai (393 mokiniai – 1–4 klasėse, 402 mokiniai – 5–8 klasėse) ir 17 priešmokyklinio ugdymo vaikų (2020 m. – 20 vaikų). Dirbo 65 pedagogai, t. y. 67,48 etato (2020 m. – 66,60 etato), ir 36 nepedagoginių darbuotojų, t. y. 34,88 etato (2020 m. – 34,88 etato). </w:t>
      </w:r>
    </w:p>
    <w:p w:rsidR="00A24425" w:rsidRDefault="00A24425" w:rsidP="00A24425">
      <w:pPr>
        <w:tabs>
          <w:tab w:val="left" w:pos="924"/>
        </w:tabs>
        <w:ind w:firstLine="603"/>
        <w:jc w:val="both"/>
      </w:pPr>
      <w:r>
        <w:t>2021 metais Progimnazija veikė, vadovaudamasi 2021–2023 m. strateginiu planu (toliau – Strateginis planas) ir 2021 m. veiklos planu (toliau – Veiklos planas). Progimnazijos bendruomenė 2021 m. išsikėlė šias prioritetinės veiklos kryptis: 1) užtikrinti kokybišką ugdymą, 2) tobulinti  pedagogų skaitmeninio raštingumo kompetenciją naudojant informacines komunikacines technologijas ir jas integruojant į ugdymo procesą, taikant nuotoliniams mokymui(si) skirtas platformas, 3) kurti sveiką, saugią ir šiuolaikinius ugdymo(si) poreikius tenkinančią aplinką. Strateginiam tikslui įgyvendinti Strateginiame ir Veiklos planuose buvo iškelti konkretūs veiklos tikslai ir uždaviniai, numatytos pamatuotos priemonės laukiamam rezultatui pasiekti.</w:t>
      </w:r>
    </w:p>
    <w:p w:rsidR="00A24425" w:rsidRDefault="00A24425" w:rsidP="00A24425">
      <w:pPr>
        <w:ind w:firstLine="603"/>
        <w:jc w:val="both"/>
        <w:rPr>
          <w:strike/>
        </w:rPr>
      </w:pPr>
      <w:r>
        <w:t>Siekiant Strateginio plano pirmojo tikslo – užtikrinti kokybišką ugdymo proceso organizavimą</w:t>
      </w:r>
      <w:r>
        <w:rPr>
          <w:color w:val="FF0000"/>
        </w:rPr>
        <w:t xml:space="preserve"> </w:t>
      </w:r>
      <w:r>
        <w:t xml:space="preserve">– Progimnazijos veikla buvo orientuojama į sąlygų ugdytis sudarymą, ugdymo proceso kokybės gerinimą ir papildomų pailgintos grupės paslaugų teikimą. Tikslams pasiekti buvo vykdomi trys Veiklos plano uždaviniai: </w:t>
      </w:r>
    </w:p>
    <w:p w:rsidR="00A24425" w:rsidRDefault="00A24425" w:rsidP="00A24425">
      <w:pPr>
        <w:ind w:firstLine="603"/>
        <w:jc w:val="both"/>
        <w:rPr>
          <w:strike/>
        </w:rPr>
      </w:pPr>
      <w:r>
        <w:t>- įgyvendinant pirmąjį uždavinį – užtikrinti sėkmingą 2020–2021 m. m. ugdymo proceso organizavimą</w:t>
      </w:r>
      <w:r>
        <w:rPr>
          <w:color w:val="FF0000"/>
        </w:rPr>
        <w:t xml:space="preserve"> </w:t>
      </w:r>
      <w:r>
        <w:t xml:space="preserve">– 100 proc. 1–4 kl. ir 5–8 kl. mokiniai perkelti į aukštesnę klasę (2019–2020 m. perkelti į aukštesnę klasę 99,8 proc. 1–4 kl., 99,7 proc. 5–8 kl. mokinių),  </w:t>
      </w:r>
      <w:r>
        <w:rPr>
          <w:bCs/>
          <w:iCs/>
          <w:spacing w:val="-1"/>
        </w:rPr>
        <w:t xml:space="preserve">parengtos 23 neformaliojo švietimo programos, neformaliojo švietimo būreliuose, kryptingo meninio (teatro, dailės, šokio, muzikos) ugdymo užsiėmimuose dalyvavo 528 mokiniai, sudarytos palankios sąlygos mokinių saviraiškai ir užimtumui, teikta savalaikė informacinė, konsultacinė psichologo, socialinio pedagogo, specialiojo pedagogo, logopedo konsultacinė pagalba. Dėl COVID-19 pandemijos formalusis ugdymas vyko nuotoliniu būdu 1–4 kl. mokiniams iki 2021-04-30, 5–8 kl. mokiniams </w:t>
      </w:r>
      <w:r>
        <w:t>–</w:t>
      </w:r>
      <w:r>
        <w:rPr>
          <w:bCs/>
          <w:iCs/>
          <w:spacing w:val="-1"/>
        </w:rPr>
        <w:t xml:space="preserve"> iki 2020–2021 m. m. pabaigos. Socialiai remiamiems ir motyvacijos stokojantiems mokiniams karantino metu buvo sudarytos sąlygos dalyvauti ugdymo procese nuotoliniu būdu Progimnazijoje. Mokiniams suteikė pagalbą ir 2 savanoriai (2021-04-08 Savanoriškos veiklos sutartis Nr.SA-17, 2021-04-08 Savanoriškos veiklos sutartis Nr.SA-18). Užtikrinant visų mokinių dalyvavimą nuotoliniame ugdyme, panaudos būdu mokiniams buvo išduoti 112 vnt. techninės įrangos. T</w:t>
      </w:r>
      <w:r>
        <w:t>eikiant papildomas pailgintos grupės paslaugas 2021 m. organizuotos 4 pailgintos dienos grupės, kuriose 85 mokiniai buvo užimti nuo 3 iki 4 val. (3 val. trukmės grupę lankė 28 mokiniai, 4 val. – 57 mokiniai);</w:t>
      </w:r>
    </w:p>
    <w:p w:rsidR="00A24425" w:rsidRDefault="00A24425" w:rsidP="00A24425">
      <w:pPr>
        <w:ind w:firstLine="603"/>
        <w:jc w:val="both"/>
        <w:rPr>
          <w:strike/>
        </w:rPr>
      </w:pPr>
      <w:r>
        <w:t>- įgyvendinant antrąjį uždavinį – sistemingai stebėti ir analizuoti mokinių individualią pažangą</w:t>
      </w:r>
      <w:r>
        <w:rPr>
          <w:color w:val="FF0000"/>
        </w:rPr>
        <w:t xml:space="preserve"> </w:t>
      </w:r>
      <w:r>
        <w:t>– organizuotas sistemingas mokymosi pagalbos teikimas, kurio tikslas – sudaryti sąlygas kiekvienam mokiniui mokytis pagal jo gebėjimus ir siekti individualios pažangos, nuolat stebėtas mokinių mokymosi procesas, rezultatai ir laiku nustatyti mokiniams kylantys mokymosi sunkumai, priimti sprendimai, numatytos konkrečios priemonės ir atlikta tų priemonių poveikio analizė. Parengtas kiekvieno mokinio individualios pažangos stebėsenos planas, su kuriuo susipažino 80 proc. tėvų. Vykdyta individuali pažangos stebėsena davė teigiamų rezultatų – 92 proc. mokinių pagerino savo pažangumo įvertinimus. Koordinuotos pagalbos vaikui grupė, kurios tikslas analizuoti ir aptarti konkrečių mokinių mokymosi, lankomumo elgesio problemas, siūlė pagalbos būdus.</w:t>
      </w:r>
    </w:p>
    <w:p w:rsidR="00A24425" w:rsidRDefault="00A24425" w:rsidP="00A24425">
      <w:pPr>
        <w:ind w:firstLine="597"/>
        <w:jc w:val="both"/>
        <w:rPr>
          <w:bCs/>
          <w:iCs/>
          <w:spacing w:val="-1"/>
        </w:rPr>
      </w:pPr>
      <w:r>
        <w:rPr>
          <w:bCs/>
          <w:iCs/>
          <w:spacing w:val="-1"/>
        </w:rPr>
        <w:lastRenderedPageBreak/>
        <w:t>2021 m. mokinių pažangumas buvo 100 proc. Labai gerais įvertinimais mokslo metus baigė 57 1–4 klasių mokiniai (2020 m. – 81) ir 26  mokiniai 5–8 klasių mokiniai (2020 m. – 19),  2021 m. 4 ir 8 klasių mokiniai dalyvavo elektroniniame nacionaliniame mokinių pasiekimų patikrinime (eNMPP) ir atliko skaitymo ir matematikos testus. 4-tų klasių mokinių matematikos taškų vidurkis 24 taškai iš 40 galimų surinkti taškų skaičiaus, o skaitymo 21,1 taškai iš 31 galimų surinkti taškų skaičiaus. 8-tų klasių mokinių matematikos testo taškų vidurkis siekė 27,6 taškus iš 50 galimų surinkti taškų skaičiaus, o skaitymo testo 26,7 taško iš 37 galimų surinkti taškų skaičiaus. Sisteminga mokinių mokymosi stebėsena ir pasiekimų analizė motyvavo mokinius daryti pažangą ir siekti aukštesnių mokymosi rezultatų. Progimnazijos mokiniai aktyviai dalyvavo ir sėkmingai pasirodė dalykinėse olimpiadose ir konkursuose.</w:t>
      </w:r>
      <w:r>
        <w:rPr>
          <w:color w:val="222222"/>
          <w:shd w:val="clear" w:color="auto" w:fill="FFFFFF"/>
          <w:lang w:eastAsia="lt-LT"/>
        </w:rPr>
        <w:t xml:space="preserve"> Konkursų ir olimpiadų laimėtojai: miesto – 24 mokiniai, r</w:t>
      </w:r>
      <w:r>
        <w:rPr>
          <w:color w:val="222222"/>
          <w:lang w:eastAsia="lt-LT"/>
        </w:rPr>
        <w:t xml:space="preserve">espublikos </w:t>
      </w:r>
      <w:r>
        <w:rPr>
          <w:color w:val="222222"/>
          <w:shd w:val="clear" w:color="auto" w:fill="FFFFFF"/>
          <w:lang w:eastAsia="lt-LT"/>
        </w:rPr>
        <w:t>–</w:t>
      </w:r>
      <w:r>
        <w:rPr>
          <w:color w:val="222222"/>
          <w:lang w:eastAsia="lt-LT"/>
        </w:rPr>
        <w:t xml:space="preserve"> 86, tarptautinių </w:t>
      </w:r>
      <w:r>
        <w:rPr>
          <w:color w:val="222222"/>
          <w:shd w:val="clear" w:color="auto" w:fill="FFFFFF"/>
          <w:lang w:eastAsia="lt-LT"/>
        </w:rPr>
        <w:t>–</w:t>
      </w:r>
      <w:r>
        <w:rPr>
          <w:color w:val="222222"/>
          <w:lang w:eastAsia="lt-LT"/>
        </w:rPr>
        <w:t xml:space="preserve"> 142;</w:t>
      </w:r>
    </w:p>
    <w:p w:rsidR="00A24425" w:rsidRDefault="00A24425" w:rsidP="00A24425">
      <w:pPr>
        <w:ind w:firstLine="597"/>
        <w:jc w:val="both"/>
        <w:rPr>
          <w:color w:val="222222"/>
          <w:lang w:eastAsia="lt-LT"/>
        </w:rPr>
      </w:pPr>
      <w:r>
        <w:t xml:space="preserve">- įgyvendinant trečiąjį uždavinį </w:t>
      </w:r>
      <w:r>
        <w:rPr>
          <w:b/>
          <w:bCs/>
        </w:rPr>
        <w:t>–</w:t>
      </w:r>
      <w:r>
        <w:rPr>
          <w:bCs/>
        </w:rPr>
        <w:t xml:space="preserve"> t</w:t>
      </w:r>
      <w:r>
        <w:rPr>
          <w:bCs/>
          <w:iCs/>
          <w:spacing w:val="-1"/>
        </w:rPr>
        <w:t xml:space="preserve">obulinti skaitmeninio raštingumo kompetenciją ir efektyvinti informacinių technologijų (toliau – IT) naudojimą ugdymo procese </w:t>
      </w:r>
      <w:r>
        <w:t xml:space="preserve">– pedagogai buvo skatinami dalyvauti kursuose ir seminaruose (14 proc. mokytojų dalyvavo dviejuose seminaruose). Įgytas skaitmeninio raštingumo kompetencijas pedagogai sėkmingai taikė ugdymo procese, aktyviai dalijosi gerąja patirtimi su kolegomis Progimnazijoje. Pagerėjo ugdymo kokybė naudojant modernias švietimo technologijas ugdymo turiniui perteiki ir modernizuojant ugdymo aplinką. </w:t>
      </w:r>
      <w:r>
        <w:rPr>
          <w:bCs/>
          <w:iCs/>
          <w:spacing w:val="-1"/>
        </w:rPr>
        <w:t xml:space="preserve">100 proc. Progimnazijos mokytojų ir pagalbos mokiniui specialistų įgijo skaitmeninio turinio raštingumo kompetencijas. </w:t>
      </w:r>
      <w:r>
        <w:t>Organizuoti 2 dienų mokymai „Microsoft 365“. S</w:t>
      </w:r>
      <w:r>
        <w:rPr>
          <w:bCs/>
          <w:iCs/>
          <w:spacing w:val="-1"/>
        </w:rPr>
        <w:t>uburta mokytojų konsultantų darbo grupė (2020 m. spalio 9 d. direktoriaus įsakymas Nr. V-64) n</w:t>
      </w:r>
      <w:r>
        <w:t xml:space="preserve">uo </w:t>
      </w:r>
      <w:r>
        <w:rPr>
          <w:bCs/>
          <w:iCs/>
          <w:spacing w:val="-1"/>
        </w:rPr>
        <w:t>2020-10-10 iki 2021-06-01 parengė rekomendacijas, teikė konsultacijas</w:t>
      </w:r>
      <w:r>
        <w:t>. 16 pradinio ugdymo mokytojų dalyvavo pradinio ugdymo mokytojų mokymuose „IT integravimas į Pradinio ugdymo turinį“ ir įgijo kompetencijas integruoti IT į pradinio ugdymo turinį. Įgytos žinios pritaikytos ugdymo procese – pravestos 98 integruotos su IT pasaulio pažinimo, matematikos, lietuvių kalbos ir dailės pamokos. Progimnazijoje organizuojant ugdymo procesą 3–8 klasėse pradėtas taikytai skaitmeninis įrankis „Reflectus“, kurį taikant mokiniai įsivertina asmeninę pažangą konkrečios pamokos metu. Siekiant stiprinti mokinių motyvaciją ir galimybes pritaikyti užduotis pagal mokinių gebėjimus visose 5–8 klasėse mokiniai naudoja skaitmeninė edukacinę aplinką EDUKA;</w:t>
      </w:r>
    </w:p>
    <w:p w:rsidR="00A24425" w:rsidRDefault="00A24425" w:rsidP="00A24425">
      <w:pPr>
        <w:ind w:firstLine="597"/>
        <w:jc w:val="both"/>
      </w:pPr>
      <w:r>
        <w:t xml:space="preserve">- įgyvendinant ketvirtąjį uždavinį – skatinti kvalifikacijos tobulinimą ir organizuoti metodinę veiklą – įgyvendinamas projektas Erasmus+KA1 „KILK aukštyn – būk kūrybiškas, inovatyvus, lyderiaujantis ir komunikabilus mokyklos bendruomenės narys“, kurio metu 1 mokytoja ir direktorė tobulino kvalifikaciją Ispanijoje ir Italijoje. Įgytos žinios, gebėjimai pritaikomi pedagoginėse veiklose, dalijimąsi įgyta patirtimi. Mokytojai dalyvauja asociacijos „Kūrybinės jungtys“ projekto „Tyrinėjimo menas; partnerystės kuriančioms mokykloms“ veiklose. </w:t>
      </w:r>
    </w:p>
    <w:p w:rsidR="00A24425" w:rsidRDefault="00A24425" w:rsidP="00A24425">
      <w:pPr>
        <w:ind w:firstLine="603"/>
        <w:jc w:val="both"/>
      </w:pPr>
      <w:r>
        <w:t>Siekiant Strateginio plano antrojo tikslo – užtikrinti sveiką, saugią ir šiuolaikinius ugdymo(si) poreikius tenkinančią aplinką – Progimnazijos veikla buvo orientuojama į ugdymo sąlygų ir aplinkos gerinimą, aplinkų pritaikymą švietimo reikmėms. Tikslams pasiekti buvo vykdomi trys</w:t>
      </w:r>
      <w:r>
        <w:rPr>
          <w:color w:val="FF0000"/>
        </w:rPr>
        <w:t xml:space="preserve"> </w:t>
      </w:r>
      <w:r>
        <w:t xml:space="preserve">Veiklos plano uždaviniai: </w:t>
      </w:r>
    </w:p>
    <w:p w:rsidR="00A24425" w:rsidRDefault="00A24425" w:rsidP="00A24425">
      <w:pPr>
        <w:ind w:firstLine="603"/>
        <w:jc w:val="both"/>
        <w:rPr>
          <w:color w:val="000000"/>
        </w:rPr>
      </w:pPr>
      <w:r>
        <w:t>- įgyvendinant pirmąjį uždavinį – gerinti  ugdymo sąlygas ir aplinką</w:t>
      </w:r>
      <w:r>
        <w:rPr>
          <w:color w:val="FF0000"/>
        </w:rPr>
        <w:t xml:space="preserve"> </w:t>
      </w:r>
      <w:r>
        <w:t>– buvo atliktas vidaus patalpų remontas</w:t>
      </w:r>
      <w:r>
        <w:rPr>
          <w:bCs/>
          <w:iCs/>
          <w:spacing w:val="-1"/>
        </w:rPr>
        <w:t xml:space="preserve"> 4 mokomuosiuose kabinetuose ir pirmo aukšto koridoriuose, 3 kabinetuose pakeista grindų danga, 5 kabinetuose atnaujinti mokykliniai baldai (mokinių suolai, spintos). Pirmo aukšto koridoriuose įrengti 7 suoliukai pradinių klasių mokinių saugumui ir poilsiui. Atnaujintos laiptų pakopos prie Progimnazijos centrinio įėjimo. </w:t>
      </w:r>
      <w:r>
        <w:rPr>
          <w:color w:val="000000"/>
        </w:rPr>
        <w:t>Įsigyta Praėjimo/lankomumo apskaitos techninė ir programinė įranga, kuri užtikrina mokinių patekimą į mokyklą su elektroniniu mokinio pažymėjimu per 4 įėjimus ir saugumą dėl pašalinių asmenų patekimo;</w:t>
      </w:r>
    </w:p>
    <w:p w:rsidR="00A24425" w:rsidRDefault="00A24425" w:rsidP="00A24425">
      <w:pPr>
        <w:ind w:firstLine="603"/>
        <w:jc w:val="both"/>
      </w:pPr>
      <w:r>
        <w:t>- įgyvendinant antrąjį uždavinį – atnaujinti edukacines erdves</w:t>
      </w:r>
      <w:r>
        <w:rPr>
          <w:color w:val="FF0000"/>
        </w:rPr>
        <w:t xml:space="preserve"> </w:t>
      </w:r>
      <w:r>
        <w:t xml:space="preserve">– įgyvendintas Klaipėdos miesto savivaldybės administracijos projektas </w:t>
      </w:r>
      <w:r>
        <w:rPr>
          <w:shd w:val="clear" w:color="auto" w:fill="FFFFFF"/>
        </w:rPr>
        <w:t xml:space="preserve">„Modernių ugdymosi erdvių sukūrimas Klaipėdos miesto progimnazijose ir gimnazijose“ finansuojamas iš Europos regioninės plėtros fondo. </w:t>
      </w:r>
      <w:r>
        <w:t xml:space="preserve">Atnaujinta sporto salė su pagalbinėmis patalpomis ir įsigyta sporto įranga. Atlikta darbų už 145,4 tūkst. Eur iš ES lėšų. </w:t>
      </w:r>
      <w:r>
        <w:rPr>
          <w:iCs/>
        </w:rPr>
        <w:t>Vykdant technologijų ir priemonių įsigijimo priemonę įsigytos šiuolaikinius ugdymo(si) reikalavimus atitinkančios informacinės-komunikacinės</w:t>
      </w:r>
      <w:r>
        <w:t xml:space="preserve"> technologijos ir priemonės, įrengta hibridinio mokymo įranga visose 17 pradinio ugdymo kabinetuose, 5–8 klasių </w:t>
      </w:r>
      <w:r>
        <w:rPr>
          <w:shd w:val="clear" w:color="auto" w:fill="FFFFFF"/>
        </w:rPr>
        <w:t>–</w:t>
      </w:r>
      <w:r>
        <w:t xml:space="preserve"> 4 </w:t>
      </w:r>
      <w:r>
        <w:lastRenderedPageBreak/>
        <w:t>kabinetuose naudojami išmanieji ekranai ir Swivl kamerų robotai. 100 proc. mokytojų aprūpinti kompiuterine technika, 11 mokytojų naudojasi ir grafinėmis planšetėmis. 5c klasės mokiniai pamokose naudojasi 28 planšetiniais kompiuteriais.</w:t>
      </w:r>
      <w:r>
        <w:rPr>
          <w:bCs/>
          <w:iCs/>
          <w:spacing w:val="-1"/>
        </w:rPr>
        <w:t xml:space="preserve"> Įsigyta 24 vnt. nešiojamų kompiuterių. Ugdymo reikmėms tenkinti įsigytos skaitmeninės informacinės priemonės EDUKA (IS). Sudarius su Kauno technologijos universitetu sutartį įgyvendinamas projektas „Saugios elektroninės erdvės vaikams kūrimas“, kurio metu Progimnazijoje įrengtos specialios belaidės interneto prieigos, o mokytojai tobulins skaitmenines kompetencijas.</w:t>
      </w:r>
    </w:p>
    <w:p w:rsidR="00A24425" w:rsidRDefault="00A24425" w:rsidP="00A24425">
      <w:pPr>
        <w:ind w:firstLine="603"/>
        <w:jc w:val="both"/>
      </w:pPr>
      <w:r>
        <w:rPr>
          <w:spacing w:val="-1"/>
        </w:rPr>
        <w:t>2021 metų Progimnazijos</w:t>
      </w:r>
      <w:r>
        <w:t xml:space="preserve"> finansinė situacija:</w:t>
      </w:r>
    </w:p>
    <w:tbl>
      <w:tblPr>
        <w:tblStyle w:val="Lentelstinklelis"/>
        <w:tblW w:w="0" w:type="auto"/>
        <w:tblInd w:w="25" w:type="dxa"/>
        <w:tblLook w:val="04A0" w:firstRow="1" w:lastRow="0" w:firstColumn="1" w:lastColumn="0" w:noHBand="0" w:noVBand="1"/>
      </w:tblPr>
      <w:tblGrid>
        <w:gridCol w:w="2315"/>
        <w:gridCol w:w="1493"/>
        <w:gridCol w:w="1216"/>
        <w:gridCol w:w="1283"/>
        <w:gridCol w:w="3415"/>
      </w:tblGrid>
      <w:tr w:rsidR="00A24425" w:rsidTr="00A24425">
        <w:tc>
          <w:tcPr>
            <w:tcW w:w="2315" w:type="dxa"/>
            <w:vMerge w:val="restart"/>
            <w:tcBorders>
              <w:top w:val="single" w:sz="4" w:space="0" w:color="auto"/>
              <w:left w:val="single" w:sz="4" w:space="0" w:color="auto"/>
              <w:bottom w:val="single" w:sz="4" w:space="0" w:color="auto"/>
              <w:right w:val="single" w:sz="4" w:space="0" w:color="auto"/>
            </w:tcBorders>
            <w:hideMark/>
          </w:tcPr>
          <w:p w:rsidR="00A24425" w:rsidRDefault="00A24425">
            <w:pPr>
              <w:jc w:val="center"/>
            </w:pPr>
            <w:r>
              <w:t>Finansavimo šaltinis</w:t>
            </w:r>
          </w:p>
        </w:tc>
        <w:tc>
          <w:tcPr>
            <w:tcW w:w="3992" w:type="dxa"/>
            <w:gridSpan w:val="3"/>
            <w:tcBorders>
              <w:top w:val="single" w:sz="4" w:space="0" w:color="auto"/>
              <w:left w:val="single" w:sz="4" w:space="0" w:color="auto"/>
              <w:bottom w:val="single" w:sz="4" w:space="0" w:color="auto"/>
              <w:right w:val="single" w:sz="4" w:space="0" w:color="auto"/>
            </w:tcBorders>
            <w:hideMark/>
          </w:tcPr>
          <w:p w:rsidR="00A24425" w:rsidRDefault="00A24425">
            <w:pPr>
              <w:jc w:val="center"/>
            </w:pPr>
            <w:r>
              <w:t>Lėšos (tūkst. eurų)</w:t>
            </w:r>
          </w:p>
        </w:tc>
        <w:tc>
          <w:tcPr>
            <w:tcW w:w="3415" w:type="dxa"/>
            <w:vMerge w:val="restart"/>
            <w:tcBorders>
              <w:top w:val="single" w:sz="4" w:space="0" w:color="auto"/>
              <w:left w:val="single" w:sz="4" w:space="0" w:color="auto"/>
              <w:bottom w:val="single" w:sz="4" w:space="0" w:color="auto"/>
              <w:right w:val="single" w:sz="4" w:space="0" w:color="auto"/>
            </w:tcBorders>
          </w:tcPr>
          <w:p w:rsidR="00A24425" w:rsidRDefault="00A24425">
            <w:pPr>
              <w:jc w:val="both"/>
            </w:pPr>
            <w:r>
              <w:t>Pastabos</w:t>
            </w:r>
          </w:p>
          <w:p w:rsidR="00A24425" w:rsidRDefault="00A24425">
            <w:pPr>
              <w:jc w:val="center"/>
            </w:pPr>
          </w:p>
        </w:tc>
      </w:tr>
      <w:tr w:rsidR="00A24425" w:rsidTr="00A24425">
        <w:tc>
          <w:tcPr>
            <w:tcW w:w="0" w:type="auto"/>
            <w:vMerge/>
            <w:tcBorders>
              <w:top w:val="single" w:sz="4" w:space="0" w:color="auto"/>
              <w:left w:val="single" w:sz="4" w:space="0" w:color="auto"/>
              <w:bottom w:val="single" w:sz="4" w:space="0" w:color="auto"/>
              <w:right w:val="single" w:sz="4" w:space="0" w:color="auto"/>
            </w:tcBorders>
            <w:vAlign w:val="center"/>
            <w:hideMark/>
          </w:tcPr>
          <w:p w:rsidR="00A24425" w:rsidRDefault="00A24425"/>
        </w:tc>
        <w:tc>
          <w:tcPr>
            <w:tcW w:w="1493" w:type="dxa"/>
            <w:tcBorders>
              <w:top w:val="single" w:sz="4" w:space="0" w:color="auto"/>
              <w:left w:val="single" w:sz="4" w:space="0" w:color="auto"/>
              <w:bottom w:val="single" w:sz="4" w:space="0" w:color="auto"/>
              <w:right w:val="single" w:sz="4" w:space="0" w:color="auto"/>
            </w:tcBorders>
            <w:hideMark/>
          </w:tcPr>
          <w:p w:rsidR="00A24425" w:rsidRDefault="00A24425">
            <w:r>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A24425" w:rsidRDefault="00A24425">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A24425" w:rsidRDefault="00A24425">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4425" w:rsidRDefault="00A24425"/>
        </w:tc>
      </w:tr>
      <w:tr w:rsidR="00A24425" w:rsidTr="00A24425">
        <w:trPr>
          <w:trHeight w:val="415"/>
        </w:trPr>
        <w:tc>
          <w:tcPr>
            <w:tcW w:w="2315" w:type="dxa"/>
            <w:tcBorders>
              <w:top w:val="single" w:sz="4" w:space="0" w:color="auto"/>
              <w:left w:val="single" w:sz="4" w:space="0" w:color="auto"/>
              <w:bottom w:val="single" w:sz="4" w:space="0" w:color="auto"/>
              <w:right w:val="single" w:sz="4" w:space="0" w:color="auto"/>
            </w:tcBorders>
            <w:hideMark/>
          </w:tcPr>
          <w:p w:rsidR="00A24425" w:rsidRDefault="00A24425">
            <w:pPr>
              <w:jc w:val="both"/>
            </w:pPr>
            <w:r>
              <w:t>Savivaldybės biudžetas (SB)</w:t>
            </w:r>
          </w:p>
        </w:tc>
        <w:tc>
          <w:tcPr>
            <w:tcW w:w="1493"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543,1</w:t>
            </w:r>
          </w:p>
        </w:tc>
        <w:tc>
          <w:tcPr>
            <w:tcW w:w="1216"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536,1</w:t>
            </w:r>
          </w:p>
        </w:tc>
        <w:tc>
          <w:tcPr>
            <w:tcW w:w="1283"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98,7</w:t>
            </w:r>
          </w:p>
        </w:tc>
        <w:tc>
          <w:tcPr>
            <w:tcW w:w="3415" w:type="dxa"/>
            <w:tcBorders>
              <w:top w:val="single" w:sz="4" w:space="0" w:color="auto"/>
              <w:left w:val="single" w:sz="4" w:space="0" w:color="auto"/>
              <w:bottom w:val="single" w:sz="4" w:space="0" w:color="auto"/>
              <w:right w:val="single" w:sz="4" w:space="0" w:color="auto"/>
            </w:tcBorders>
            <w:hideMark/>
          </w:tcPr>
          <w:p w:rsidR="00A24425" w:rsidRDefault="00A24425">
            <w:pPr>
              <w:jc w:val="both"/>
            </w:pPr>
            <w:r>
              <w:t>Nepanaudota 3,7 tūkst. eurų. lėšų iš Mokinių nemokamo maitinimo gamybos išlaidų padengimo lėšų</w:t>
            </w:r>
          </w:p>
        </w:tc>
      </w:tr>
      <w:tr w:rsidR="00A24425" w:rsidTr="00A24425">
        <w:tc>
          <w:tcPr>
            <w:tcW w:w="2315" w:type="dxa"/>
            <w:tcBorders>
              <w:top w:val="single" w:sz="4" w:space="0" w:color="auto"/>
              <w:left w:val="single" w:sz="4" w:space="0" w:color="auto"/>
              <w:bottom w:val="single" w:sz="4" w:space="0" w:color="auto"/>
              <w:right w:val="single" w:sz="4" w:space="0" w:color="auto"/>
            </w:tcBorders>
            <w:hideMark/>
          </w:tcPr>
          <w:p w:rsidR="00A24425" w:rsidRDefault="00A24425">
            <w:pPr>
              <w:jc w:val="both"/>
            </w:pPr>
            <w:r>
              <w:t>Specialioji tikslinė dotacija (VB)</w:t>
            </w:r>
          </w:p>
        </w:tc>
        <w:tc>
          <w:tcPr>
            <w:tcW w:w="1493"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1374,5</w:t>
            </w:r>
          </w:p>
        </w:tc>
        <w:tc>
          <w:tcPr>
            <w:tcW w:w="1216"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1363,6</w:t>
            </w:r>
          </w:p>
        </w:tc>
        <w:tc>
          <w:tcPr>
            <w:tcW w:w="1283"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99,2</w:t>
            </w:r>
          </w:p>
        </w:tc>
        <w:tc>
          <w:tcPr>
            <w:tcW w:w="3415" w:type="dxa"/>
            <w:tcBorders>
              <w:top w:val="single" w:sz="4" w:space="0" w:color="auto"/>
              <w:left w:val="single" w:sz="4" w:space="0" w:color="auto"/>
              <w:bottom w:val="single" w:sz="4" w:space="0" w:color="auto"/>
              <w:right w:val="single" w:sz="4" w:space="0" w:color="auto"/>
            </w:tcBorders>
            <w:hideMark/>
          </w:tcPr>
          <w:p w:rsidR="00A24425" w:rsidRDefault="00A24425">
            <w:pPr>
              <w:jc w:val="both"/>
            </w:pPr>
            <w:r>
              <w:t xml:space="preserve">Nepanaudota 6,7 tūkst. eurų lėšų iš Mokinių nemokamo maitinimo organizavimo lėšų, 5,6 tūkst. lėšų iš konsultacijoms skirtų lėšų  </w:t>
            </w:r>
          </w:p>
        </w:tc>
      </w:tr>
      <w:tr w:rsidR="00A24425" w:rsidTr="00A24425">
        <w:tc>
          <w:tcPr>
            <w:tcW w:w="2315" w:type="dxa"/>
            <w:tcBorders>
              <w:top w:val="single" w:sz="4" w:space="0" w:color="auto"/>
              <w:left w:val="single" w:sz="4" w:space="0" w:color="auto"/>
              <w:bottom w:val="single" w:sz="4" w:space="0" w:color="auto"/>
              <w:right w:val="single" w:sz="4" w:space="0" w:color="auto"/>
            </w:tcBorders>
            <w:hideMark/>
          </w:tcPr>
          <w:p w:rsidR="00A24425" w:rsidRDefault="00A24425">
            <w:pPr>
              <w:jc w:val="both"/>
            </w:pPr>
            <w:r>
              <w:t>Įstaigos gautos pajamos (surinkta pajamų SP), iš jų:</w:t>
            </w:r>
          </w:p>
        </w:tc>
        <w:tc>
          <w:tcPr>
            <w:tcW w:w="1493"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17,4</w:t>
            </w:r>
          </w:p>
        </w:tc>
        <w:tc>
          <w:tcPr>
            <w:tcW w:w="1216"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9,6</w:t>
            </w:r>
          </w:p>
        </w:tc>
        <w:tc>
          <w:tcPr>
            <w:tcW w:w="1283"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55,2</w:t>
            </w:r>
          </w:p>
        </w:tc>
        <w:tc>
          <w:tcPr>
            <w:tcW w:w="3415" w:type="dxa"/>
            <w:tcBorders>
              <w:top w:val="single" w:sz="4" w:space="0" w:color="auto"/>
              <w:left w:val="single" w:sz="4" w:space="0" w:color="auto"/>
              <w:bottom w:val="single" w:sz="4" w:space="0" w:color="auto"/>
              <w:right w:val="single" w:sz="4" w:space="0" w:color="auto"/>
            </w:tcBorders>
            <w:hideMark/>
          </w:tcPr>
          <w:p w:rsidR="00A24425" w:rsidRDefault="00A24425">
            <w:pPr>
              <w:jc w:val="both"/>
            </w:pPr>
            <w:r>
              <w:t>Dėl paskelbto karantino nesurinktos lėšos už pailgintos dienos grupę – 5,0 tūkst. eurų; patalpų suteikimo paslaugų lėšų –  2,8 tūkst. eurų</w:t>
            </w:r>
          </w:p>
        </w:tc>
      </w:tr>
      <w:tr w:rsidR="00A24425" w:rsidTr="00A24425">
        <w:trPr>
          <w:trHeight w:val="477"/>
        </w:trPr>
        <w:tc>
          <w:tcPr>
            <w:tcW w:w="2315" w:type="dxa"/>
            <w:tcBorders>
              <w:top w:val="single" w:sz="4" w:space="0" w:color="auto"/>
              <w:left w:val="single" w:sz="4" w:space="0" w:color="auto"/>
              <w:bottom w:val="single" w:sz="4" w:space="0" w:color="auto"/>
              <w:right w:val="single" w:sz="4" w:space="0" w:color="auto"/>
            </w:tcBorders>
            <w:hideMark/>
          </w:tcPr>
          <w:p w:rsidR="00A24425" w:rsidRDefault="00A24425">
            <w:pPr>
              <w:jc w:val="both"/>
            </w:pPr>
            <w:r>
              <w:t>Pajamų išlaidos (SP)</w:t>
            </w:r>
          </w:p>
        </w:tc>
        <w:tc>
          <w:tcPr>
            <w:tcW w:w="1493"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w:t>
            </w:r>
          </w:p>
        </w:tc>
        <w:tc>
          <w:tcPr>
            <w:tcW w:w="1216"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7,8</w:t>
            </w:r>
          </w:p>
        </w:tc>
        <w:tc>
          <w:tcPr>
            <w:tcW w:w="1283"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44,8</w:t>
            </w:r>
          </w:p>
        </w:tc>
        <w:tc>
          <w:tcPr>
            <w:tcW w:w="3415" w:type="dxa"/>
            <w:tcBorders>
              <w:top w:val="single" w:sz="4" w:space="0" w:color="auto"/>
              <w:left w:val="single" w:sz="4" w:space="0" w:color="auto"/>
              <w:bottom w:val="single" w:sz="4" w:space="0" w:color="auto"/>
              <w:right w:val="single" w:sz="4" w:space="0" w:color="auto"/>
            </w:tcBorders>
            <w:hideMark/>
          </w:tcPr>
          <w:p w:rsidR="00A24425" w:rsidRDefault="00A24425">
            <w:pPr>
              <w:jc w:val="both"/>
            </w:pPr>
            <w:r>
              <w:t>Liko nepanaudotos lėšos iš patalpų nuomos lėšų – 0,8    tūkst. eurų; už pailgintos dienos grupę – 1,0 tūkst. eurų</w:t>
            </w:r>
          </w:p>
        </w:tc>
      </w:tr>
      <w:tr w:rsidR="00A24425" w:rsidTr="00A24425">
        <w:trPr>
          <w:trHeight w:val="125"/>
        </w:trPr>
        <w:tc>
          <w:tcPr>
            <w:tcW w:w="2315" w:type="dxa"/>
            <w:tcBorders>
              <w:top w:val="single" w:sz="4" w:space="0" w:color="auto"/>
              <w:left w:val="single" w:sz="4" w:space="0" w:color="auto"/>
              <w:bottom w:val="single" w:sz="4" w:space="0" w:color="auto"/>
              <w:right w:val="single" w:sz="4" w:space="0" w:color="auto"/>
            </w:tcBorders>
            <w:hideMark/>
          </w:tcPr>
          <w:p w:rsidR="00A24425" w:rsidRDefault="00A24425">
            <w:pPr>
              <w:jc w:val="both"/>
            </w:pPr>
            <w:r>
              <w:t>Projektų finansavimas (ES; VB; SB)</w:t>
            </w:r>
          </w:p>
        </w:tc>
        <w:tc>
          <w:tcPr>
            <w:tcW w:w="1493"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36,8</w:t>
            </w:r>
          </w:p>
        </w:tc>
        <w:tc>
          <w:tcPr>
            <w:tcW w:w="1216"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1,8</w:t>
            </w:r>
          </w:p>
        </w:tc>
        <w:tc>
          <w:tcPr>
            <w:tcW w:w="1283"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4,89</w:t>
            </w:r>
          </w:p>
        </w:tc>
        <w:tc>
          <w:tcPr>
            <w:tcW w:w="3415" w:type="dxa"/>
            <w:tcBorders>
              <w:top w:val="single" w:sz="4" w:space="0" w:color="auto"/>
              <w:left w:val="single" w:sz="4" w:space="0" w:color="auto"/>
              <w:bottom w:val="single" w:sz="4" w:space="0" w:color="auto"/>
              <w:right w:val="single" w:sz="4" w:space="0" w:color="auto"/>
            </w:tcBorders>
            <w:hideMark/>
          </w:tcPr>
          <w:p w:rsidR="00A24425" w:rsidRDefault="00A24425">
            <w:pPr>
              <w:jc w:val="both"/>
            </w:pPr>
            <w:r>
              <w:t>Projektų, finansuojamų iš ES veiklos pratęstos iki 2022-12-30</w:t>
            </w:r>
          </w:p>
        </w:tc>
      </w:tr>
      <w:tr w:rsidR="00A24425" w:rsidTr="00A24425">
        <w:tc>
          <w:tcPr>
            <w:tcW w:w="2315" w:type="dxa"/>
            <w:tcBorders>
              <w:top w:val="single" w:sz="4" w:space="0" w:color="auto"/>
              <w:left w:val="single" w:sz="4" w:space="0" w:color="auto"/>
              <w:bottom w:val="single" w:sz="4" w:space="0" w:color="auto"/>
              <w:right w:val="single" w:sz="4" w:space="0" w:color="auto"/>
            </w:tcBorders>
            <w:hideMark/>
          </w:tcPr>
          <w:p w:rsidR="00A24425" w:rsidRDefault="00A24425">
            <w:pPr>
              <w:jc w:val="both"/>
            </w:pPr>
            <w:r>
              <w:t>Kitos lėšos (parama 2 % GM ir kt.)</w:t>
            </w:r>
          </w:p>
        </w:tc>
        <w:tc>
          <w:tcPr>
            <w:tcW w:w="1493"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19,4</w:t>
            </w:r>
          </w:p>
        </w:tc>
        <w:tc>
          <w:tcPr>
            <w:tcW w:w="1216"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9,6</w:t>
            </w:r>
          </w:p>
        </w:tc>
        <w:tc>
          <w:tcPr>
            <w:tcW w:w="1283"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49,5</w:t>
            </w:r>
          </w:p>
        </w:tc>
        <w:tc>
          <w:tcPr>
            <w:tcW w:w="3415" w:type="dxa"/>
            <w:tcBorders>
              <w:top w:val="single" w:sz="4" w:space="0" w:color="auto"/>
              <w:left w:val="single" w:sz="4" w:space="0" w:color="auto"/>
              <w:bottom w:val="single" w:sz="4" w:space="0" w:color="auto"/>
              <w:right w:val="single" w:sz="4" w:space="0" w:color="auto"/>
            </w:tcBorders>
          </w:tcPr>
          <w:p w:rsidR="00A24425" w:rsidRDefault="00A24425">
            <w:pPr>
              <w:jc w:val="both"/>
            </w:pPr>
          </w:p>
        </w:tc>
      </w:tr>
      <w:tr w:rsidR="00A24425" w:rsidTr="00A24425">
        <w:trPr>
          <w:trHeight w:val="430"/>
        </w:trPr>
        <w:tc>
          <w:tcPr>
            <w:tcW w:w="2315" w:type="dxa"/>
            <w:tcBorders>
              <w:top w:val="single" w:sz="4" w:space="0" w:color="auto"/>
              <w:left w:val="single" w:sz="4" w:space="0" w:color="auto"/>
              <w:bottom w:val="single" w:sz="4" w:space="0" w:color="auto"/>
              <w:right w:val="single" w:sz="4" w:space="0" w:color="auto"/>
            </w:tcBorders>
            <w:hideMark/>
          </w:tcPr>
          <w:p w:rsidR="00A24425" w:rsidRDefault="00A24425">
            <w:pPr>
              <w:jc w:val="both"/>
            </w:pPr>
            <w:r>
              <w:t>Iš viso</w:t>
            </w:r>
          </w:p>
        </w:tc>
        <w:tc>
          <w:tcPr>
            <w:tcW w:w="1493"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1991,2</w:t>
            </w:r>
          </w:p>
        </w:tc>
        <w:tc>
          <w:tcPr>
            <w:tcW w:w="1216"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1918,9</w:t>
            </w:r>
          </w:p>
        </w:tc>
        <w:tc>
          <w:tcPr>
            <w:tcW w:w="1283" w:type="dxa"/>
            <w:tcBorders>
              <w:top w:val="single" w:sz="4" w:space="0" w:color="auto"/>
              <w:left w:val="single" w:sz="4" w:space="0" w:color="auto"/>
              <w:bottom w:val="single" w:sz="4" w:space="0" w:color="auto"/>
              <w:right w:val="single" w:sz="4" w:space="0" w:color="auto"/>
            </w:tcBorders>
            <w:hideMark/>
          </w:tcPr>
          <w:p w:rsidR="00A24425" w:rsidRDefault="00A24425">
            <w:pPr>
              <w:jc w:val="center"/>
            </w:pPr>
            <w:r>
              <w:t>96,4</w:t>
            </w:r>
          </w:p>
        </w:tc>
        <w:tc>
          <w:tcPr>
            <w:tcW w:w="3415" w:type="dxa"/>
            <w:tcBorders>
              <w:top w:val="single" w:sz="4" w:space="0" w:color="auto"/>
              <w:left w:val="single" w:sz="4" w:space="0" w:color="auto"/>
              <w:bottom w:val="single" w:sz="4" w:space="0" w:color="auto"/>
              <w:right w:val="single" w:sz="4" w:space="0" w:color="auto"/>
            </w:tcBorders>
          </w:tcPr>
          <w:p w:rsidR="00A24425" w:rsidRDefault="00A24425">
            <w:pPr>
              <w:jc w:val="both"/>
            </w:pPr>
          </w:p>
        </w:tc>
      </w:tr>
      <w:tr w:rsidR="00A24425" w:rsidTr="00A24425">
        <w:tc>
          <w:tcPr>
            <w:tcW w:w="5024" w:type="dxa"/>
            <w:gridSpan w:val="3"/>
            <w:tcBorders>
              <w:top w:val="single" w:sz="4" w:space="0" w:color="auto"/>
              <w:left w:val="single" w:sz="4" w:space="0" w:color="auto"/>
              <w:bottom w:val="single" w:sz="4" w:space="0" w:color="auto"/>
              <w:right w:val="single" w:sz="4" w:space="0" w:color="auto"/>
            </w:tcBorders>
            <w:hideMark/>
          </w:tcPr>
          <w:p w:rsidR="00A24425" w:rsidRDefault="00A24425">
            <w:pPr>
              <w:jc w:val="both"/>
            </w:pPr>
            <w:r>
              <w:t>Kreditinis įsiskolinimas (pagal visus finansavimo šaltinius) 2022 m. sausio 1 d.  – 0,284 tūkst. Eur</w:t>
            </w:r>
          </w:p>
        </w:tc>
        <w:tc>
          <w:tcPr>
            <w:tcW w:w="1283" w:type="dxa"/>
            <w:tcBorders>
              <w:top w:val="single" w:sz="4" w:space="0" w:color="auto"/>
              <w:left w:val="single" w:sz="4" w:space="0" w:color="auto"/>
              <w:bottom w:val="single" w:sz="4" w:space="0" w:color="auto"/>
              <w:right w:val="single" w:sz="4" w:space="0" w:color="auto"/>
            </w:tcBorders>
          </w:tcPr>
          <w:p w:rsidR="00A24425" w:rsidRDefault="00A24425">
            <w:pPr>
              <w:jc w:val="both"/>
            </w:pPr>
          </w:p>
        </w:tc>
        <w:tc>
          <w:tcPr>
            <w:tcW w:w="3415" w:type="dxa"/>
            <w:tcBorders>
              <w:top w:val="single" w:sz="4" w:space="0" w:color="auto"/>
              <w:left w:val="single" w:sz="4" w:space="0" w:color="auto"/>
              <w:bottom w:val="single" w:sz="4" w:space="0" w:color="auto"/>
              <w:right w:val="single" w:sz="4" w:space="0" w:color="auto"/>
            </w:tcBorders>
            <w:hideMark/>
          </w:tcPr>
          <w:p w:rsidR="00A24425" w:rsidRDefault="00A24425">
            <w:pPr>
              <w:jc w:val="both"/>
            </w:pPr>
            <w:r>
              <w:t>Kreditorinis įsiskolinimas iš Savivaldybės biudžeto lėšų Ryšių paslaugų įsigijimo išlaidų – 0,024 tūkst. Eur, nes sąskaitos už 2021 m. gruodžio mėn. iš paslaugų tiekėjų gautos 2021 m. sausio mėn. ir 0,260 tūkst. Eur, socialinio draudimo lėšų sumokėti VSD įmokas iki MMA už 2021 m. gruodžio mėn.</w:t>
            </w:r>
          </w:p>
        </w:tc>
      </w:tr>
    </w:tbl>
    <w:p w:rsidR="00A24425" w:rsidRDefault="00A24425" w:rsidP="00A24425">
      <w:pPr>
        <w:jc w:val="both"/>
      </w:pPr>
    </w:p>
    <w:p w:rsidR="00A24425" w:rsidRDefault="00A24425" w:rsidP="00A24425">
      <w:pPr>
        <w:ind w:firstLine="597"/>
      </w:pPr>
      <w:r>
        <w:t>Progimnazijoje 2021 m. buvo atlikti patikrinimai:</w:t>
      </w:r>
    </w:p>
    <w:p w:rsidR="00A24425" w:rsidRDefault="00A24425" w:rsidP="00A24425">
      <w:pPr>
        <w:ind w:firstLine="597"/>
        <w:jc w:val="both"/>
      </w:pPr>
      <w:r>
        <w:t>Nacionalinio visuomenės sveikatos centro prie Sveikatos apsaugos ministerijos Klaipėdos departamento Visuomenės sveikatos saugos kontrolės skyrius 2021-09-28 d. patikrinimas dėl ekstremaliosios situacijos metu taikomų apribojimų laikymosi. Kontrolės išvada: reikalavimų pažeidimų nenustatyta;</w:t>
      </w:r>
    </w:p>
    <w:p w:rsidR="00A24425" w:rsidRDefault="00A24425" w:rsidP="00A24425">
      <w:pPr>
        <w:ind w:firstLine="597"/>
        <w:jc w:val="both"/>
      </w:pPr>
      <w:r>
        <w:lastRenderedPageBreak/>
        <w:t>Klaipėdos miesto savivaldybės administracijos Švietimo skyriaus atliktas patikrinimas įvertinti Vaiko gerovės komisijos (toliau – VGK) darbą, sprendžiant vaiko gerovės užtikrinimo klausimus ir pateikti rekomendacijas dėl VGK darbo efektyvinimo. Pažeidimų nenustatyta, įvykdytos rekomendacijos: atnaujinti VGK darbo tvarkos aprašą/reglamentą; Progimnazijos interneto svetainėje skelbti informaciją apie VGK funkcijas ir VGK pirmininko kontaktus;</w:t>
      </w:r>
    </w:p>
    <w:p w:rsidR="00A24425" w:rsidRDefault="00A24425" w:rsidP="00A24425">
      <w:pPr>
        <w:ind w:firstLine="597"/>
        <w:jc w:val="both"/>
      </w:pPr>
      <w:r>
        <w:t>Liudviko Stulpino progimnazijoje maisto tvarkymą nuo 2019-09-13 valgykloje vykdo UAB „Maisto slėnis“. Valstybinės maisto ir veterinarijos tarnybos Klaipėdos departamento Progimnazijoje 2021-10-13 atliktas planinis patikrinimas. Nustatyti valgiaraščių derinimo, technologijų, patiekalų pateikimo, vaikų maitinimo tvarkos aprašo laikymosi, atsekamumo, įrangos ir inventoriaus priežiūros pažeidimai. Atlikti dar 2 tikrinimai pagal gautus skundus. Nurodyta maitinimo organizatoriui užtikrinti, kad organizuojant mokinių maitinimą, būtų vadovaujamasi Maitinimo organizavimo ikimokyklinio ugdymo, bendrojo ugdymo mokyklose ir vaikų socialinės globos įstaigose tvarkos aprašo  (LR SAM 2022-11-11 d .įsakymas Nr. V-964) reikalavimais. 2021-11-17 organizuotas UAB „Maisto slėnio“ ir 2b kl. mokinių tėvų atstovo susitikimas,  2021-01-12 organizuotas Progimnazijos 2b kl. visų mokinių tėvų ir UAB „Maisto slėnio“ atstovų susitikimas.</w:t>
      </w:r>
    </w:p>
    <w:p w:rsidR="00A24425" w:rsidRDefault="00A24425" w:rsidP="00A24425">
      <w:pPr>
        <w:ind w:firstLine="591"/>
        <w:jc w:val="both"/>
      </w:pPr>
      <w:r>
        <w:t>Siekiant užtikrinti ugdymo paslaugų kokybę, šiuolaikinius reikalavimus atitinkančią saugią ir sveiką aplinką, Progimnazijoje būtina spręsti šias vidaus ir išorės faktorių sąlygotas problemas: atlikti bibliotekos, virtuvės, kabinetų remontą, atnaujinti baldus kabinetuose, įsigyti informacinių ir komunikacinių technologijų priemonių, tvarkyti kanalizacijos sistemą.</w:t>
      </w:r>
    </w:p>
    <w:p w:rsidR="00A24425" w:rsidRDefault="00A24425" w:rsidP="00A24425">
      <w:pPr>
        <w:jc w:val="both"/>
      </w:pPr>
      <w:r>
        <w:t>Planuodama 2022 m. veiklą, Progimnazijos bendruomenė susitarė dėl veiklos krypčių: skaitmeninių technologijų integravimas ir naudojimas ugdymo procese siekiant kiekvieno mokinio asmeninės pažangos, rengimasis atnaujintų Bendrųjų ugdymo programų įdiegimui.</w:t>
      </w:r>
    </w:p>
    <w:p w:rsidR="00A24425" w:rsidRDefault="00A24425" w:rsidP="00A24425">
      <w:pPr>
        <w:jc w:val="both"/>
      </w:pPr>
    </w:p>
    <w:p w:rsidR="00A24425" w:rsidRDefault="00A24425" w:rsidP="00A24425">
      <w:pPr>
        <w:jc w:val="both"/>
      </w:pPr>
    </w:p>
    <w:p w:rsidR="00A24425" w:rsidRDefault="00A24425" w:rsidP="00A24425">
      <w:pPr>
        <w:jc w:val="both"/>
      </w:pPr>
      <w:r>
        <w:t>Direktorė</w:t>
      </w:r>
      <w:r>
        <w:tab/>
      </w:r>
      <w:r>
        <w:tab/>
      </w:r>
      <w:r>
        <w:tab/>
      </w:r>
      <w:r>
        <w:tab/>
      </w:r>
      <w:r>
        <w:tab/>
      </w:r>
      <w:r>
        <w:tab/>
        <w:t>Diana Čedavičienė</w:t>
      </w: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A24425">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4C067A"/>
    <w:rsid w:val="00597EE8"/>
    <w:rsid w:val="005B434A"/>
    <w:rsid w:val="005F495C"/>
    <w:rsid w:val="00616F5A"/>
    <w:rsid w:val="00677042"/>
    <w:rsid w:val="007B1666"/>
    <w:rsid w:val="00832CC9"/>
    <w:rsid w:val="008354D5"/>
    <w:rsid w:val="008E6E82"/>
    <w:rsid w:val="00A24425"/>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08512470">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8319</Words>
  <Characters>4743</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15</cp:revision>
  <dcterms:created xsi:type="dcterms:W3CDTF">2013-10-25T06:49:00Z</dcterms:created>
  <dcterms:modified xsi:type="dcterms:W3CDTF">2022-04-29T06:13:00Z</dcterms:modified>
</cp:coreProperties>
</file>